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CAD3" w14:textId="77777777" w:rsidR="0008379C" w:rsidRDefault="00AF1C39" w:rsidP="0008379C">
      <w:pPr>
        <w:jc w:val="center"/>
      </w:pPr>
      <w:r>
        <w:rPr>
          <w:noProof/>
        </w:rPr>
        <w:drawing>
          <wp:inline distT="0" distB="0" distL="0" distR="0" wp14:anchorId="0E745F39" wp14:editId="2175D7F7">
            <wp:extent cx="2781300" cy="1276350"/>
            <wp:effectExtent l="0" t="0" r="0" b="0"/>
            <wp:docPr id="1" name="Picture 1" descr="EJCD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CDC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8C2D1" w14:textId="77777777" w:rsidR="0008379C" w:rsidRDefault="0008379C" w:rsidP="0008379C"/>
    <w:p w14:paraId="0AF68E51" w14:textId="77777777" w:rsidR="0008379C" w:rsidRPr="00787B67" w:rsidRDefault="00AF1C39" w:rsidP="0008379C">
      <w:r w:rsidRPr="00787B67">
        <w:t>FOR IMMEDIATE RELEASE</w:t>
      </w:r>
    </w:p>
    <w:p w14:paraId="2FBE6A5C" w14:textId="77777777" w:rsidR="0008379C" w:rsidRPr="00B955DC" w:rsidRDefault="0008379C" w:rsidP="0008379C"/>
    <w:p w14:paraId="370306FB" w14:textId="77777777" w:rsidR="0008379C" w:rsidRPr="00564335" w:rsidRDefault="00AF1C39" w:rsidP="0008379C">
      <w:pPr>
        <w:jc w:val="center"/>
        <w:rPr>
          <w:b/>
          <w:color w:val="000000"/>
        </w:rPr>
      </w:pPr>
      <w:r w:rsidRPr="00564335">
        <w:rPr>
          <w:b/>
          <w:color w:val="000000"/>
        </w:rPr>
        <w:t>The Engineers Joint Contract Documents Committee</w:t>
      </w:r>
    </w:p>
    <w:p w14:paraId="0A2FA54A" w14:textId="72FF0871" w:rsidR="00BC1322" w:rsidRDefault="00AF1C39" w:rsidP="00BC1322">
      <w:r w:rsidRPr="00564335">
        <w:rPr>
          <w:b/>
          <w:color w:val="000000"/>
        </w:rPr>
        <w:t xml:space="preserve">Releases </w:t>
      </w:r>
      <w:r>
        <w:rPr>
          <w:b/>
          <w:color w:val="000000"/>
        </w:rPr>
        <w:t>20</w:t>
      </w:r>
      <w:r w:rsidR="00E25ABB">
        <w:rPr>
          <w:b/>
          <w:color w:val="000000"/>
        </w:rPr>
        <w:t>20</w:t>
      </w:r>
      <w:r>
        <w:rPr>
          <w:b/>
          <w:color w:val="000000"/>
        </w:rPr>
        <w:t xml:space="preserve"> edition of the </w:t>
      </w:r>
      <w:r w:rsidR="001949DB" w:rsidRPr="001949DB">
        <w:rPr>
          <w:b/>
          <w:i/>
        </w:rPr>
        <w:t>EJCDC® E</w:t>
      </w:r>
      <w:r w:rsidR="001949DB" w:rsidRPr="001949DB">
        <w:rPr>
          <w:b/>
          <w:i/>
        </w:rPr>
        <w:noBreakHyphen/>
        <w:t>505 2020, Agreement Between Owner and Engineer for Professional Services—Task Order Edition</w:t>
      </w:r>
    </w:p>
    <w:p w14:paraId="60E4B86F" w14:textId="77777777" w:rsidR="0008379C" w:rsidRDefault="0008379C" w:rsidP="00BC1322">
      <w:pPr>
        <w:rPr>
          <w:b/>
          <w:color w:val="000000"/>
        </w:rPr>
      </w:pPr>
    </w:p>
    <w:p w14:paraId="41846F23" w14:textId="68CA0CCE" w:rsidR="00BC1322" w:rsidRDefault="00AF1C39" w:rsidP="00BC1322">
      <w:r w:rsidRPr="0041738F">
        <w:rPr>
          <w:rFonts w:asciiTheme="majorHAnsi" w:hAnsiTheme="majorHAnsi"/>
        </w:rPr>
        <w:t xml:space="preserve">ALEXANDRIA, Va., </w:t>
      </w:r>
      <w:r w:rsidR="001949DB">
        <w:rPr>
          <w:rFonts w:asciiTheme="majorHAnsi" w:hAnsiTheme="majorHAnsi"/>
        </w:rPr>
        <w:t>November 16</w:t>
      </w:r>
      <w:r w:rsidR="00E25ABB">
        <w:rPr>
          <w:rFonts w:asciiTheme="majorHAnsi" w:hAnsiTheme="majorHAnsi"/>
        </w:rPr>
        <w:t>, 2020</w:t>
      </w:r>
      <w:r w:rsidRPr="0041738F">
        <w:rPr>
          <w:rFonts w:asciiTheme="majorHAnsi" w:hAnsiTheme="majorHAnsi"/>
        </w:rPr>
        <w:t xml:space="preserve">—The Engineers Joint Contract Documents </w:t>
      </w:r>
      <w:r w:rsidR="000F60D2">
        <w:rPr>
          <w:rFonts w:asciiTheme="majorHAnsi" w:hAnsiTheme="majorHAnsi"/>
        </w:rPr>
        <w:t>Committee</w:t>
      </w:r>
      <w:r w:rsidR="002C034C" w:rsidRPr="0041738F">
        <w:rPr>
          <w:rFonts w:asciiTheme="majorHAnsi" w:hAnsiTheme="majorHAnsi"/>
        </w:rPr>
        <w:t xml:space="preserve"> today released the </w:t>
      </w:r>
      <w:r w:rsidR="001949DB" w:rsidRPr="001949DB">
        <w:rPr>
          <w:bCs/>
          <w:i/>
        </w:rPr>
        <w:t>EJCDC® E</w:t>
      </w:r>
      <w:r w:rsidR="001949DB" w:rsidRPr="001949DB">
        <w:rPr>
          <w:bCs/>
          <w:i/>
        </w:rPr>
        <w:noBreakHyphen/>
        <w:t>505 2020, Agreement Between Owner and Engineer for Professional Services—Task Order Edition</w:t>
      </w:r>
      <w:r w:rsidR="0008379C">
        <w:t>.</w:t>
      </w:r>
      <w:r w:rsidR="00BC1322">
        <w:t xml:space="preserve"> </w:t>
      </w:r>
    </w:p>
    <w:p w14:paraId="10A87260" w14:textId="77777777" w:rsidR="00BC1322" w:rsidRDefault="00BC1322" w:rsidP="00BC1322">
      <w:pPr>
        <w:rPr>
          <w:rFonts w:asciiTheme="majorHAnsi" w:hAnsiTheme="majorHAnsi"/>
        </w:rPr>
      </w:pPr>
    </w:p>
    <w:p w14:paraId="0F088197" w14:textId="114B8046" w:rsidR="001949DB" w:rsidRDefault="001949DB" w:rsidP="001949DB">
      <w:r w:rsidRPr="00B91CA6">
        <w:rPr>
          <w:i/>
          <w:iCs/>
        </w:rPr>
        <w:t xml:space="preserve">EJCDC </w:t>
      </w:r>
      <w:r w:rsidRPr="00B91CA6">
        <w:rPr>
          <w:i/>
          <w:iCs/>
        </w:rPr>
        <w:t>E</w:t>
      </w:r>
      <w:r w:rsidRPr="00B91CA6">
        <w:rPr>
          <w:i/>
          <w:iCs/>
        </w:rPr>
        <w:noBreakHyphen/>
        <w:t>505</w:t>
      </w:r>
      <w:r>
        <w:t xml:space="preserve"> includes the same comprehensive range of terms and conditions present in the </w:t>
      </w:r>
      <w:r w:rsidRPr="00B91CA6">
        <w:rPr>
          <w:i/>
          <w:iCs/>
        </w:rPr>
        <w:t>E</w:t>
      </w:r>
      <w:r w:rsidRPr="00B91CA6">
        <w:rPr>
          <w:i/>
          <w:iCs/>
        </w:rPr>
        <w:noBreakHyphen/>
        <w:t xml:space="preserve">500 </w:t>
      </w:r>
      <w:r w:rsidR="00B91CA6">
        <w:rPr>
          <w:i/>
          <w:iCs/>
        </w:rPr>
        <w:t xml:space="preserve">Agreement Between </w:t>
      </w:r>
      <w:r w:rsidRPr="00B91CA6">
        <w:rPr>
          <w:i/>
          <w:iCs/>
        </w:rPr>
        <w:t>Owner-Engineer</w:t>
      </w:r>
      <w:r>
        <w:t xml:space="preserve"> </w:t>
      </w:r>
      <w:r w:rsidR="00B91CA6" w:rsidRPr="00B91CA6">
        <w:rPr>
          <w:i/>
          <w:iCs/>
        </w:rPr>
        <w:t>for Professional Services</w:t>
      </w:r>
      <w:r w:rsidR="00B91CA6">
        <w:t xml:space="preserve">, </w:t>
      </w:r>
      <w:r>
        <w:t>but is designed to be used for multiple or recurring assignments (“tasks”) related to one or several projects. The numbering, structure, and content of E</w:t>
      </w:r>
      <w:r>
        <w:noBreakHyphen/>
        <w:t>500 and E</w:t>
      </w:r>
      <w:r>
        <w:noBreakHyphen/>
        <w:t>505</w:t>
      </w:r>
      <w:r w:rsidR="00B91CA6">
        <w:t xml:space="preserve">, </w:t>
      </w:r>
      <w:r>
        <w:t>including their exhibits</w:t>
      </w:r>
      <w:r w:rsidR="00B91CA6">
        <w:t>,</w:t>
      </w:r>
      <w:r>
        <w:t xml:space="preserve"> are similar.</w:t>
      </w:r>
    </w:p>
    <w:p w14:paraId="54603A2C" w14:textId="77777777" w:rsidR="001949DB" w:rsidRDefault="001949DB" w:rsidP="001949DB"/>
    <w:p w14:paraId="0AA48C4B" w14:textId="6062C27A" w:rsidR="001949DB" w:rsidRDefault="00B91CA6" w:rsidP="001949DB">
      <w:r w:rsidRPr="00226FDE">
        <w:rPr>
          <w:i/>
          <w:iCs/>
        </w:rPr>
        <w:t>EJCDC</w:t>
      </w:r>
      <w:r w:rsidR="001949DB" w:rsidRPr="00226FDE">
        <w:rPr>
          <w:i/>
          <w:iCs/>
        </w:rPr>
        <w:t xml:space="preserve"> E</w:t>
      </w:r>
      <w:r w:rsidR="001949DB" w:rsidRPr="00226FDE">
        <w:rPr>
          <w:i/>
          <w:iCs/>
        </w:rPr>
        <w:noBreakHyphen/>
        <w:t>505</w:t>
      </w:r>
      <w:r w:rsidR="001949DB">
        <w:t xml:space="preserve"> </w:t>
      </w:r>
      <w:r>
        <w:t xml:space="preserve">defines </w:t>
      </w:r>
      <w:r w:rsidR="001949DB">
        <w:t xml:space="preserve">individual task orders for specific professional assignments. In a task order, the Owner and Engineer agree to task-specific terms, such as scope of services, schedule, and compensation, for </w:t>
      </w:r>
      <w:r w:rsidR="00226FDE">
        <w:t>each</w:t>
      </w:r>
      <w:r w:rsidR="001949DB">
        <w:t xml:space="preserve"> specific assignment. When a task order is issued, no drafting or negotiating is needed for provisions such as indemnification, insurance, claims, dispute resolution, suspension, </w:t>
      </w:r>
      <w:r w:rsidR="001949DB">
        <w:t xml:space="preserve">or </w:t>
      </w:r>
      <w:r w:rsidR="001949DB">
        <w:t>termination</w:t>
      </w:r>
      <w:r w:rsidR="001949DB">
        <w:t xml:space="preserve"> </w:t>
      </w:r>
      <w:r w:rsidR="001949DB">
        <w:t xml:space="preserve">because these provisions will have been negotiated previously and set in place in the </w:t>
      </w:r>
      <w:r w:rsidR="001949DB" w:rsidRPr="00226FDE">
        <w:rPr>
          <w:i/>
          <w:iCs/>
        </w:rPr>
        <w:t>E</w:t>
      </w:r>
      <w:r w:rsidR="001949DB" w:rsidRPr="00226FDE">
        <w:rPr>
          <w:i/>
          <w:iCs/>
        </w:rPr>
        <w:noBreakHyphen/>
        <w:t>505 Main Agreement</w:t>
      </w:r>
      <w:r w:rsidR="001949DB">
        <w:t xml:space="preserve"> and its exhibits. This format allows individual assignments to be expeditiously made without the need to renegotiate the entire </w:t>
      </w:r>
      <w:r w:rsidR="001949DB" w:rsidRPr="009173E7">
        <w:rPr>
          <w:i/>
          <w:iCs/>
        </w:rPr>
        <w:t>Main Agreement</w:t>
      </w:r>
      <w:r w:rsidR="001949DB">
        <w:t>.</w:t>
      </w:r>
    </w:p>
    <w:p w14:paraId="65A6D8B5" w14:textId="77777777" w:rsidR="001949DB" w:rsidRDefault="001949DB" w:rsidP="001949DB"/>
    <w:p w14:paraId="4CD49230" w14:textId="4BD57E38" w:rsidR="001949DB" w:rsidRDefault="0006022A" w:rsidP="001949DB">
      <w:r>
        <w:t xml:space="preserve">In updating </w:t>
      </w:r>
      <w:r w:rsidRPr="009173E7">
        <w:rPr>
          <w:i/>
          <w:iCs/>
        </w:rPr>
        <w:t xml:space="preserve">EJCDC </w:t>
      </w:r>
      <w:r w:rsidRPr="009173E7">
        <w:rPr>
          <w:i/>
          <w:iCs/>
        </w:rPr>
        <w:t>E-505</w:t>
      </w:r>
      <w:r>
        <w:t xml:space="preserve">, EJCDC </w:t>
      </w:r>
      <w:r>
        <w:t xml:space="preserve">made a </w:t>
      </w:r>
      <w:r>
        <w:t xml:space="preserve">considerable </w:t>
      </w:r>
      <w:r>
        <w:t>effort to enhance and re-organize the exhibits to the E</w:t>
      </w:r>
      <w:r>
        <w:noBreakHyphen/>
        <w:t xml:space="preserve">505 Main Agreement and Task Order form, to reflect evolving contract practice and improve ease of use. </w:t>
      </w:r>
      <w:r>
        <w:t xml:space="preserve">  </w:t>
      </w:r>
      <w:r w:rsidR="001949DB">
        <w:t xml:space="preserve">Like </w:t>
      </w:r>
      <w:r w:rsidR="00B91CA6" w:rsidRPr="009173E7">
        <w:rPr>
          <w:i/>
          <w:iCs/>
        </w:rPr>
        <w:t xml:space="preserve">EJCDC </w:t>
      </w:r>
      <w:r w:rsidR="001949DB" w:rsidRPr="009173E7">
        <w:rPr>
          <w:i/>
          <w:iCs/>
        </w:rPr>
        <w:t>E</w:t>
      </w:r>
      <w:r w:rsidR="001949DB" w:rsidRPr="009173E7">
        <w:rPr>
          <w:i/>
          <w:iCs/>
        </w:rPr>
        <w:noBreakHyphen/>
        <w:t>500</w:t>
      </w:r>
      <w:r w:rsidR="001949DB">
        <w:t xml:space="preserve">, the updated </w:t>
      </w:r>
      <w:r w:rsidR="00B91CA6" w:rsidRPr="009173E7">
        <w:rPr>
          <w:i/>
          <w:iCs/>
        </w:rPr>
        <w:t xml:space="preserve">EJCDC </w:t>
      </w:r>
      <w:r w:rsidR="001949DB" w:rsidRPr="009173E7">
        <w:rPr>
          <w:i/>
          <w:iCs/>
        </w:rPr>
        <w:t>E</w:t>
      </w:r>
      <w:r w:rsidR="001949DB" w:rsidRPr="009173E7">
        <w:rPr>
          <w:i/>
          <w:iCs/>
        </w:rPr>
        <w:noBreakHyphen/>
        <w:t xml:space="preserve">505 Task Order </w:t>
      </w:r>
      <w:r w:rsidR="001949DB" w:rsidRPr="009173E7">
        <w:rPr>
          <w:i/>
          <w:iCs/>
        </w:rPr>
        <w:t>Edition</w:t>
      </w:r>
      <w:r w:rsidR="001949DB">
        <w:t xml:space="preserve"> contains focused improvements, more options, better guidance and instructions, and an improved structure. </w:t>
      </w:r>
      <w:r>
        <w:t xml:space="preserve"> </w:t>
      </w:r>
    </w:p>
    <w:p w14:paraId="11F90DA3" w14:textId="77777777" w:rsidR="001949DB" w:rsidRDefault="001949DB" w:rsidP="001949DB"/>
    <w:p w14:paraId="1A8CE3A9" w14:textId="04C9C253" w:rsidR="001949DB" w:rsidRDefault="001949DB" w:rsidP="001949DB">
      <w:r>
        <w:t>The 2020 edition of E</w:t>
      </w:r>
      <w:r>
        <w:noBreakHyphen/>
        <w:t>505 is published in four parts</w:t>
      </w:r>
      <w:r>
        <w:t xml:space="preserve">, </w:t>
      </w:r>
      <w:r w:rsidR="0006022A">
        <w:t xml:space="preserve">which are included in a zip file. </w:t>
      </w:r>
      <w:r>
        <w:t xml:space="preserve"> </w:t>
      </w:r>
      <w:r w:rsidR="0006022A">
        <w:t>EJCDC believes this format will</w:t>
      </w:r>
      <w:r>
        <w:t xml:space="preserve"> help users manage the drafting of both the Main Agreement and subsequent Task Orders, and efficiently organize the topics and exhibits. </w:t>
      </w:r>
      <w:r>
        <w:t>The four parts are as follows:</w:t>
      </w:r>
    </w:p>
    <w:p w14:paraId="43F4E2F6" w14:textId="09FDAB4E" w:rsidR="001949DB" w:rsidRDefault="00B91CA6" w:rsidP="00B91CA6">
      <w:pPr>
        <w:pStyle w:val="ListParagraph"/>
        <w:numPr>
          <w:ilvl w:val="0"/>
          <w:numId w:val="22"/>
        </w:numPr>
        <w:spacing w:before="120"/>
        <w:contextualSpacing w:val="0"/>
      </w:pPr>
      <w:r w:rsidRPr="00B91CA6">
        <w:rPr>
          <w:bCs/>
        </w:rPr>
        <w:lastRenderedPageBreak/>
        <w:t>Part 1: Main Agreement</w:t>
      </w:r>
      <w:r>
        <w:rPr>
          <w:bCs/>
        </w:rPr>
        <w:t>—Th</w:t>
      </w:r>
      <w:r>
        <w:t>e main agreement is the</w:t>
      </w:r>
      <w:r w:rsidR="001949DB">
        <w:t xml:space="preserve"> controlling agreement form</w:t>
      </w:r>
      <w:r>
        <w:t>.  It</w:t>
      </w:r>
      <w:r w:rsidR="001949DB">
        <w:t xml:space="preserve"> contains the general terms and conditions that apply to all subsequently issued Task Orders. </w:t>
      </w:r>
    </w:p>
    <w:p w14:paraId="418FCADE" w14:textId="40DD6049" w:rsidR="001949DB" w:rsidRPr="00B91CA6" w:rsidRDefault="00B91CA6" w:rsidP="00B91CA6">
      <w:pPr>
        <w:pStyle w:val="ListParagraph"/>
        <w:numPr>
          <w:ilvl w:val="0"/>
          <w:numId w:val="22"/>
        </w:numPr>
        <w:spacing w:before="120"/>
        <w:contextualSpacing w:val="0"/>
        <w:rPr>
          <w:bCs/>
          <w:caps/>
        </w:rPr>
      </w:pPr>
      <w:r w:rsidRPr="00B91CA6">
        <w:rPr>
          <w:bCs/>
        </w:rPr>
        <w:t xml:space="preserve">Part 2: Exhibits </w:t>
      </w:r>
      <w:r>
        <w:rPr>
          <w:bCs/>
        </w:rPr>
        <w:t>t</w:t>
      </w:r>
      <w:r w:rsidRPr="00B91CA6">
        <w:rPr>
          <w:bCs/>
        </w:rPr>
        <w:t>o Main Agreement</w:t>
      </w:r>
      <w:r>
        <w:rPr>
          <w:bCs/>
        </w:rPr>
        <w:t>—T</w:t>
      </w:r>
      <w:r w:rsidRPr="00B91CA6">
        <w:rPr>
          <w:bCs/>
        </w:rPr>
        <w:t xml:space="preserve">he exhibits are intended to supplement the main agreement and as such will have general application to all task orders. </w:t>
      </w:r>
    </w:p>
    <w:p w14:paraId="44667745" w14:textId="47FB0C32" w:rsidR="001949DB" w:rsidRPr="00B91CA6" w:rsidRDefault="00B91CA6" w:rsidP="00B91CA6">
      <w:pPr>
        <w:pStyle w:val="ListParagraph"/>
        <w:numPr>
          <w:ilvl w:val="0"/>
          <w:numId w:val="22"/>
        </w:numPr>
        <w:spacing w:before="120"/>
        <w:contextualSpacing w:val="0"/>
        <w:rPr>
          <w:bCs/>
          <w:caps/>
        </w:rPr>
      </w:pPr>
      <w:r w:rsidRPr="00B91CA6">
        <w:rPr>
          <w:bCs/>
        </w:rPr>
        <w:t>Part 3: Task Order Form</w:t>
      </w:r>
      <w:r>
        <w:rPr>
          <w:bCs/>
        </w:rPr>
        <w:t>—T</w:t>
      </w:r>
      <w:r w:rsidRPr="00B91CA6">
        <w:rPr>
          <w:bCs/>
        </w:rPr>
        <w:t xml:space="preserve">his form is used by </w:t>
      </w:r>
      <w:r>
        <w:rPr>
          <w:bCs/>
        </w:rPr>
        <w:t>the O</w:t>
      </w:r>
      <w:r w:rsidRPr="00B91CA6">
        <w:rPr>
          <w:bCs/>
        </w:rPr>
        <w:t xml:space="preserve">wner and </w:t>
      </w:r>
      <w:r>
        <w:rPr>
          <w:bCs/>
        </w:rPr>
        <w:t>E</w:t>
      </w:r>
      <w:r w:rsidRPr="00B91CA6">
        <w:rPr>
          <w:bCs/>
        </w:rPr>
        <w:t xml:space="preserve">ngineer to define </w:t>
      </w:r>
      <w:r>
        <w:rPr>
          <w:bCs/>
        </w:rPr>
        <w:t>the scope of services for a</w:t>
      </w:r>
      <w:r w:rsidRPr="00B91CA6">
        <w:rPr>
          <w:bCs/>
        </w:rPr>
        <w:t xml:space="preserve"> specific task to be performed by the engineer, to specify the engineer’s compensation for performing the task, and the schedule for completion of the services. </w:t>
      </w:r>
    </w:p>
    <w:p w14:paraId="29FA7CFE" w14:textId="4CEAFC18" w:rsidR="001949DB" w:rsidRPr="00B91CA6" w:rsidRDefault="00B91CA6" w:rsidP="00B91CA6">
      <w:pPr>
        <w:pStyle w:val="ListParagraph"/>
        <w:numPr>
          <w:ilvl w:val="0"/>
          <w:numId w:val="22"/>
        </w:numPr>
        <w:spacing w:before="120"/>
        <w:contextualSpacing w:val="0"/>
        <w:rPr>
          <w:bCs/>
          <w:caps/>
        </w:rPr>
      </w:pPr>
      <w:r w:rsidRPr="00B91CA6">
        <w:rPr>
          <w:bCs/>
        </w:rPr>
        <w:t xml:space="preserve">Part 4: </w:t>
      </w:r>
      <w:r w:rsidR="0006022A" w:rsidRPr="00B91CA6">
        <w:rPr>
          <w:bCs/>
        </w:rPr>
        <w:t xml:space="preserve">Exhibits </w:t>
      </w:r>
      <w:r w:rsidR="0006022A">
        <w:rPr>
          <w:bCs/>
        </w:rPr>
        <w:t>t</w:t>
      </w:r>
      <w:r w:rsidR="0006022A" w:rsidRPr="00B91CA6">
        <w:rPr>
          <w:bCs/>
        </w:rPr>
        <w:t>o</w:t>
      </w:r>
      <w:r w:rsidR="0006022A">
        <w:rPr>
          <w:bCs/>
        </w:rPr>
        <w:t xml:space="preserve"> the</w:t>
      </w:r>
      <w:r w:rsidR="0006022A" w:rsidRPr="00B91CA6">
        <w:rPr>
          <w:bCs/>
        </w:rPr>
        <w:t xml:space="preserve"> Task Order</w:t>
      </w:r>
      <w:r w:rsidR="0006022A">
        <w:rPr>
          <w:bCs/>
        </w:rPr>
        <w:t xml:space="preserve">—There are </w:t>
      </w:r>
      <w:r w:rsidRPr="00B91CA6">
        <w:rPr>
          <w:bCs/>
        </w:rPr>
        <w:t>four exhibits intended for use with specific task orders:</w:t>
      </w:r>
    </w:p>
    <w:p w14:paraId="0999D778" w14:textId="2E266D3F" w:rsidR="001949DB" w:rsidRPr="00B91CA6" w:rsidRDefault="00B91CA6" w:rsidP="00B91CA6">
      <w:pPr>
        <w:pStyle w:val="ListParagraph"/>
        <w:numPr>
          <w:ilvl w:val="1"/>
          <w:numId w:val="22"/>
        </w:numPr>
        <w:spacing w:before="120"/>
        <w:contextualSpacing w:val="0"/>
        <w:rPr>
          <w:bCs/>
          <w:caps/>
        </w:rPr>
      </w:pPr>
      <w:r w:rsidRPr="00B91CA6">
        <w:rPr>
          <w:bCs/>
        </w:rPr>
        <w:t>Exhibit </w:t>
      </w:r>
      <w:r w:rsidR="0006022A" w:rsidRPr="00B91CA6">
        <w:rPr>
          <w:bCs/>
        </w:rPr>
        <w:t>A</w:t>
      </w:r>
      <w:r w:rsidRPr="00B91CA6">
        <w:rPr>
          <w:bCs/>
        </w:rPr>
        <w:t xml:space="preserve">, </w:t>
      </w:r>
      <w:r w:rsidR="0006022A" w:rsidRPr="00B91CA6">
        <w:rPr>
          <w:bCs/>
        </w:rPr>
        <w:t>Engineer’s Services Under Task Order</w:t>
      </w:r>
      <w:r w:rsidRPr="00B91CA6">
        <w:rPr>
          <w:bCs/>
        </w:rPr>
        <w:t>.</w:t>
      </w:r>
      <w:r w:rsidR="001949DB" w:rsidRPr="00B91CA6">
        <w:rPr>
          <w:bCs/>
          <w:caps/>
        </w:rPr>
        <w:t xml:space="preserve">  </w:t>
      </w:r>
      <w:r w:rsidRPr="00B91CA6">
        <w:rPr>
          <w:bCs/>
        </w:rPr>
        <w:t xml:space="preserve">Defining the specific scope of the engineer’s services is a critical element of each task </w:t>
      </w:r>
      <w:proofErr w:type="gramStart"/>
      <w:r w:rsidRPr="00B91CA6">
        <w:rPr>
          <w:bCs/>
        </w:rPr>
        <w:t>order..</w:t>
      </w:r>
      <w:proofErr w:type="gramEnd"/>
      <w:r w:rsidRPr="00B91CA6">
        <w:rPr>
          <w:bCs/>
        </w:rPr>
        <w:t xml:space="preserve"> </w:t>
      </w:r>
    </w:p>
    <w:p w14:paraId="6DEBDD19" w14:textId="48582180" w:rsidR="001949DB" w:rsidRPr="00B91CA6" w:rsidRDefault="00B91CA6" w:rsidP="00B91CA6">
      <w:pPr>
        <w:pStyle w:val="ListParagraph"/>
        <w:numPr>
          <w:ilvl w:val="1"/>
          <w:numId w:val="22"/>
        </w:numPr>
        <w:spacing w:before="120"/>
        <w:contextualSpacing w:val="0"/>
        <w:rPr>
          <w:bCs/>
          <w:caps/>
        </w:rPr>
      </w:pPr>
      <w:r w:rsidRPr="00B91CA6">
        <w:rPr>
          <w:bCs/>
        </w:rPr>
        <w:t>Exhibit </w:t>
      </w:r>
      <w:r w:rsidR="0006022A">
        <w:rPr>
          <w:bCs/>
        </w:rPr>
        <w:t>B</w:t>
      </w:r>
      <w:r w:rsidRPr="00B91CA6">
        <w:rPr>
          <w:bCs/>
        </w:rPr>
        <w:t xml:space="preserve">, </w:t>
      </w:r>
      <w:r w:rsidR="0006022A" w:rsidRPr="00B91CA6">
        <w:rPr>
          <w:bCs/>
        </w:rPr>
        <w:t xml:space="preserve">Deliverables Schedule </w:t>
      </w:r>
      <w:r w:rsidR="009173E7">
        <w:rPr>
          <w:bCs/>
        </w:rPr>
        <w:t>f</w:t>
      </w:r>
      <w:r w:rsidR="0006022A" w:rsidRPr="00B91CA6">
        <w:rPr>
          <w:bCs/>
        </w:rPr>
        <w:t>or Task Order</w:t>
      </w:r>
      <w:r w:rsidR="001949DB" w:rsidRPr="00B91CA6">
        <w:rPr>
          <w:bCs/>
          <w:caps/>
        </w:rPr>
        <w:t xml:space="preserve">.  </w:t>
      </w:r>
      <w:r w:rsidRPr="00B91CA6">
        <w:rPr>
          <w:bCs/>
        </w:rPr>
        <w:t xml:space="preserve">This new exhibit presents an organized </w:t>
      </w:r>
      <w:r w:rsidR="0006022A">
        <w:rPr>
          <w:bCs/>
        </w:rPr>
        <w:t xml:space="preserve">schedule </w:t>
      </w:r>
      <w:r w:rsidRPr="00B91CA6">
        <w:rPr>
          <w:bCs/>
        </w:rPr>
        <w:t xml:space="preserve">of </w:t>
      </w:r>
      <w:r w:rsidR="0006022A">
        <w:rPr>
          <w:bCs/>
        </w:rPr>
        <w:t>the E</w:t>
      </w:r>
      <w:r w:rsidRPr="00B91CA6">
        <w:rPr>
          <w:bCs/>
        </w:rPr>
        <w:t xml:space="preserve">ngineer’s deliverables and </w:t>
      </w:r>
      <w:r w:rsidR="0006022A">
        <w:rPr>
          <w:bCs/>
        </w:rPr>
        <w:t>the O</w:t>
      </w:r>
      <w:r w:rsidRPr="00B91CA6">
        <w:rPr>
          <w:bCs/>
        </w:rPr>
        <w:t xml:space="preserve">wner’s review times. </w:t>
      </w:r>
    </w:p>
    <w:p w14:paraId="0C8E055E" w14:textId="1730B08D" w:rsidR="001949DB" w:rsidRPr="00B91CA6" w:rsidRDefault="00B91CA6" w:rsidP="00B91CA6">
      <w:pPr>
        <w:pStyle w:val="ListParagraph"/>
        <w:numPr>
          <w:ilvl w:val="1"/>
          <w:numId w:val="22"/>
        </w:numPr>
        <w:spacing w:before="120"/>
        <w:contextualSpacing w:val="0"/>
        <w:rPr>
          <w:bCs/>
          <w:caps/>
        </w:rPr>
      </w:pPr>
      <w:r w:rsidRPr="00B91CA6">
        <w:rPr>
          <w:bCs/>
        </w:rPr>
        <w:t>Exhibit </w:t>
      </w:r>
      <w:r w:rsidR="0006022A" w:rsidRPr="00B91CA6">
        <w:rPr>
          <w:bCs/>
        </w:rPr>
        <w:t xml:space="preserve">D, Duties, Responsibilities, And Limitations </w:t>
      </w:r>
      <w:r w:rsidR="009173E7">
        <w:rPr>
          <w:bCs/>
        </w:rPr>
        <w:t>o</w:t>
      </w:r>
      <w:r w:rsidR="0006022A" w:rsidRPr="00B91CA6">
        <w:rPr>
          <w:bCs/>
        </w:rPr>
        <w:t xml:space="preserve">f Authority </w:t>
      </w:r>
      <w:r w:rsidR="009173E7">
        <w:rPr>
          <w:bCs/>
        </w:rPr>
        <w:t>o</w:t>
      </w:r>
      <w:r w:rsidR="0006022A" w:rsidRPr="00B91CA6">
        <w:rPr>
          <w:bCs/>
        </w:rPr>
        <w:t>f Resident Project Representative Under Task Order</w:t>
      </w:r>
      <w:r w:rsidRPr="00B91CA6">
        <w:rPr>
          <w:bCs/>
        </w:rPr>
        <w:t>.</w:t>
      </w:r>
      <w:r w:rsidR="001949DB" w:rsidRPr="00B91CA6">
        <w:rPr>
          <w:bCs/>
          <w:caps/>
        </w:rPr>
        <w:t xml:space="preserve">  </w:t>
      </w:r>
    </w:p>
    <w:p w14:paraId="3F708F3C" w14:textId="3487BDD4" w:rsidR="001949DB" w:rsidRPr="00B91CA6" w:rsidRDefault="00B91CA6" w:rsidP="00B91CA6">
      <w:pPr>
        <w:pStyle w:val="ListParagraph"/>
        <w:numPr>
          <w:ilvl w:val="1"/>
          <w:numId w:val="22"/>
        </w:numPr>
        <w:spacing w:before="120"/>
        <w:contextualSpacing w:val="0"/>
        <w:rPr>
          <w:bCs/>
          <w:caps/>
        </w:rPr>
      </w:pPr>
      <w:r w:rsidRPr="00B91CA6">
        <w:rPr>
          <w:bCs/>
        </w:rPr>
        <w:t>Exhibit </w:t>
      </w:r>
      <w:r w:rsidR="0006022A" w:rsidRPr="00B91CA6">
        <w:rPr>
          <w:bCs/>
        </w:rPr>
        <w:t xml:space="preserve">E, </w:t>
      </w:r>
      <w:r w:rsidR="0006022A" w:rsidRPr="009173E7">
        <w:rPr>
          <w:bCs/>
          <w:i/>
          <w:iCs/>
        </w:rPr>
        <w:t>EJCDC</w:t>
      </w:r>
      <w:r w:rsidRPr="009173E7">
        <w:rPr>
          <w:bCs/>
          <w:i/>
          <w:iCs/>
        </w:rPr>
        <w:t>® </w:t>
      </w:r>
      <w:r w:rsidR="0006022A" w:rsidRPr="009173E7">
        <w:rPr>
          <w:bCs/>
          <w:i/>
          <w:iCs/>
        </w:rPr>
        <w:t>C</w:t>
      </w:r>
      <w:r w:rsidRPr="009173E7">
        <w:rPr>
          <w:bCs/>
          <w:i/>
          <w:iCs/>
        </w:rPr>
        <w:noBreakHyphen/>
        <w:t xml:space="preserve">626, </w:t>
      </w:r>
      <w:r w:rsidR="0006022A" w:rsidRPr="009173E7">
        <w:rPr>
          <w:bCs/>
          <w:i/>
          <w:iCs/>
        </w:rPr>
        <w:t xml:space="preserve">Notice </w:t>
      </w:r>
      <w:r w:rsidR="009173E7" w:rsidRPr="009173E7">
        <w:rPr>
          <w:bCs/>
          <w:i/>
          <w:iCs/>
        </w:rPr>
        <w:t>o</w:t>
      </w:r>
      <w:r w:rsidR="0006022A" w:rsidRPr="009173E7">
        <w:rPr>
          <w:bCs/>
          <w:i/>
          <w:iCs/>
        </w:rPr>
        <w:t xml:space="preserve">f Acceptability </w:t>
      </w:r>
      <w:r w:rsidR="009173E7" w:rsidRPr="009173E7">
        <w:rPr>
          <w:bCs/>
          <w:i/>
          <w:iCs/>
        </w:rPr>
        <w:t>o</w:t>
      </w:r>
      <w:r w:rsidR="0006022A" w:rsidRPr="009173E7">
        <w:rPr>
          <w:bCs/>
          <w:i/>
          <w:iCs/>
        </w:rPr>
        <w:t>f Work</w:t>
      </w:r>
      <w:r w:rsidR="0006022A" w:rsidRPr="00B91CA6">
        <w:rPr>
          <w:bCs/>
        </w:rPr>
        <w:t xml:space="preserve"> </w:t>
      </w:r>
      <w:r w:rsidRPr="00B91CA6">
        <w:rPr>
          <w:bCs/>
        </w:rPr>
        <w:t>form.</w:t>
      </w:r>
      <w:r w:rsidR="001949DB" w:rsidRPr="00B91CA6">
        <w:rPr>
          <w:bCs/>
          <w:caps/>
        </w:rPr>
        <w:t xml:space="preserve">  </w:t>
      </w:r>
      <w:r w:rsidRPr="00B91CA6">
        <w:rPr>
          <w:bCs/>
        </w:rPr>
        <w:t xml:space="preserve">By including this form as an exhibit, both </w:t>
      </w:r>
      <w:r w:rsidR="0006022A">
        <w:rPr>
          <w:bCs/>
        </w:rPr>
        <w:t>O</w:t>
      </w:r>
      <w:r w:rsidRPr="00B91CA6">
        <w:rPr>
          <w:bCs/>
        </w:rPr>
        <w:t xml:space="preserve">wner and </w:t>
      </w:r>
      <w:r w:rsidR="0006022A">
        <w:rPr>
          <w:bCs/>
        </w:rPr>
        <w:t>E</w:t>
      </w:r>
      <w:r w:rsidRPr="00B91CA6">
        <w:rPr>
          <w:bCs/>
        </w:rPr>
        <w:t>ngineer acknowledge the scope and limitations of this critical determination.</w:t>
      </w:r>
    </w:p>
    <w:p w14:paraId="1B869576" w14:textId="77777777" w:rsidR="0006022A" w:rsidRDefault="0006022A" w:rsidP="00E25ABB"/>
    <w:p w14:paraId="1808C088" w14:textId="3F236CA5" w:rsidR="00FF2758" w:rsidRPr="00FF2758" w:rsidRDefault="00FF2758" w:rsidP="00FF2758">
      <w:pPr>
        <w:pStyle w:val="ListParagraph"/>
        <w:numPr>
          <w:ilvl w:val="0"/>
          <w:numId w:val="23"/>
        </w:numPr>
        <w:spacing w:before="120"/>
        <w:contextualSpacing w:val="0"/>
      </w:pPr>
      <w:r>
        <w:t>The “</w:t>
      </w:r>
      <w:r w:rsidRPr="00FF2758">
        <w:t xml:space="preserve">Task </w:t>
      </w:r>
      <w:r>
        <w:t>O</w:t>
      </w:r>
      <w:r w:rsidRPr="00FF2758">
        <w:t>rder</w:t>
      </w:r>
      <w:r>
        <w:t>”</w:t>
      </w:r>
      <w:r w:rsidRPr="00FF2758">
        <w:t xml:space="preserve"> form </w:t>
      </w:r>
      <w:r>
        <w:t xml:space="preserve">has been </w:t>
      </w:r>
      <w:r w:rsidRPr="00FF2758">
        <w:t>updated</w:t>
      </w:r>
      <w:r>
        <w:t xml:space="preserve"> with</w:t>
      </w:r>
      <w:r w:rsidRPr="00FF2758">
        <w:t xml:space="preserve"> </w:t>
      </w:r>
      <w:r w:rsidRPr="00FF2758">
        <w:t>guidance and a general outline to prompt the user to include a detailed project description</w:t>
      </w:r>
      <w:r w:rsidRPr="00FF2758">
        <w:t>.</w:t>
      </w:r>
    </w:p>
    <w:p w14:paraId="55D4E283" w14:textId="33B8EC43" w:rsidR="00FF2758" w:rsidRPr="00FF2758" w:rsidRDefault="00FF2758" w:rsidP="00FF2758">
      <w:pPr>
        <w:pStyle w:val="ListParagraph"/>
        <w:numPr>
          <w:ilvl w:val="0"/>
          <w:numId w:val="23"/>
        </w:numPr>
        <w:spacing w:before="120"/>
        <w:contextualSpacing w:val="0"/>
      </w:pPr>
      <w:r>
        <w:t xml:space="preserve">The </w:t>
      </w:r>
      <w:r w:rsidRPr="00FF2758">
        <w:t>“</w:t>
      </w:r>
      <w:r>
        <w:t>O</w:t>
      </w:r>
      <w:r w:rsidRPr="00FF2758">
        <w:t xml:space="preserve">wner’s </w:t>
      </w:r>
      <w:r>
        <w:t>R</w:t>
      </w:r>
      <w:r w:rsidRPr="00FF2758">
        <w:t xml:space="preserve">esponsibilities” provisions </w:t>
      </w:r>
      <w:r>
        <w:t xml:space="preserve">has been </w:t>
      </w:r>
      <w:r w:rsidRPr="00FF2758">
        <w:t xml:space="preserve">moved </w:t>
      </w:r>
      <w:r>
        <w:t xml:space="preserve">from the exhibits </w:t>
      </w:r>
      <w:r w:rsidRPr="00FF2758">
        <w:t xml:space="preserve">to </w:t>
      </w:r>
      <w:r>
        <w:t>M</w:t>
      </w:r>
      <w:r w:rsidRPr="00FF2758">
        <w:t xml:space="preserve">ain </w:t>
      </w:r>
      <w:r>
        <w:t>A</w:t>
      </w:r>
      <w:r w:rsidRPr="00FF2758">
        <w:t>greement</w:t>
      </w:r>
      <w:r w:rsidRPr="00FF2758">
        <w:t>.</w:t>
      </w:r>
    </w:p>
    <w:p w14:paraId="051B87DD" w14:textId="2ABF38E5" w:rsidR="00FF2758" w:rsidRPr="00FF2758" w:rsidRDefault="00FF2758" w:rsidP="00FF2758">
      <w:pPr>
        <w:pStyle w:val="ListParagraph"/>
        <w:numPr>
          <w:ilvl w:val="0"/>
          <w:numId w:val="23"/>
        </w:numPr>
        <w:spacing w:before="120"/>
        <w:contextualSpacing w:val="0"/>
      </w:pPr>
      <w:r>
        <w:t>There is a n</w:t>
      </w:r>
      <w:r w:rsidRPr="00FF2758">
        <w:t>ew deliverables schedule exhibit</w:t>
      </w:r>
      <w:r w:rsidRPr="00FF2758">
        <w:t xml:space="preserve">.  </w:t>
      </w:r>
    </w:p>
    <w:p w14:paraId="54064E91" w14:textId="22021A6D" w:rsidR="00FF2758" w:rsidRPr="00FF2758" w:rsidRDefault="00FF2758" w:rsidP="00FF2758">
      <w:pPr>
        <w:pStyle w:val="ListParagraph"/>
        <w:numPr>
          <w:ilvl w:val="0"/>
          <w:numId w:val="23"/>
        </w:numPr>
        <w:spacing w:before="120"/>
        <w:contextualSpacing w:val="0"/>
      </w:pPr>
      <w:r>
        <w:t>The payment exhibit has been u</w:t>
      </w:r>
      <w:r w:rsidRPr="00FF2758">
        <w:t>pdate</w:t>
      </w:r>
      <w:r>
        <w:t>d</w:t>
      </w:r>
      <w:r w:rsidRPr="00FF2758">
        <w:t xml:space="preserve"> and relocat</w:t>
      </w:r>
      <w:r>
        <w:t>ed</w:t>
      </w:r>
      <w:r w:rsidRPr="00FF2758">
        <w:t xml:space="preserve">.  </w:t>
      </w:r>
    </w:p>
    <w:p w14:paraId="77FD4C3F" w14:textId="10E9D714" w:rsidR="00BC1322" w:rsidRDefault="00FF2758" w:rsidP="00FF2758">
      <w:pPr>
        <w:pStyle w:val="ListParagraph"/>
        <w:numPr>
          <w:ilvl w:val="0"/>
          <w:numId w:val="23"/>
        </w:numPr>
        <w:spacing w:before="120"/>
        <w:contextualSpacing w:val="0"/>
      </w:pPr>
      <w:r w:rsidRPr="00FF2758">
        <w:t xml:space="preserve">Electronic documents protocol </w:t>
      </w:r>
      <w:r>
        <w:t>has been added</w:t>
      </w:r>
      <w:r w:rsidRPr="00FF2758">
        <w:t xml:space="preserve">.  </w:t>
      </w:r>
    </w:p>
    <w:p w14:paraId="75ECD7A1" w14:textId="432B445B" w:rsidR="00FF2758" w:rsidRDefault="00FF2758" w:rsidP="00FF2758">
      <w:pPr>
        <w:spacing w:before="120"/>
      </w:pPr>
    </w:p>
    <w:p w14:paraId="6DEA2714" w14:textId="6C56E211" w:rsidR="00FF2758" w:rsidRDefault="00FF2758" w:rsidP="00FF2758">
      <w:pPr>
        <w:spacing w:before="120"/>
      </w:pPr>
      <w:r>
        <w:t xml:space="preserve">Details of all the updates to </w:t>
      </w:r>
      <w:r w:rsidRPr="00FF2758">
        <w:rPr>
          <w:i/>
          <w:iCs/>
        </w:rPr>
        <w:t>EJCDC-E-505</w:t>
      </w:r>
      <w:r>
        <w:t xml:space="preserve"> can be found in the Summary of Changes.  </w:t>
      </w:r>
    </w:p>
    <w:p w14:paraId="54B610BA" w14:textId="77777777" w:rsidR="00FF2758" w:rsidRDefault="00FF2758" w:rsidP="00BC1322"/>
    <w:p w14:paraId="4B62FC01" w14:textId="69453F27" w:rsidR="0008379C" w:rsidRDefault="00AF1C39" w:rsidP="00BC1322">
      <w:r>
        <w:t>The 20</w:t>
      </w:r>
      <w:r w:rsidR="00E25ABB">
        <w:t>20</w:t>
      </w:r>
      <w:r>
        <w:t xml:space="preserve"> edition of </w:t>
      </w:r>
      <w:r w:rsidRPr="00FF2758">
        <w:rPr>
          <w:i/>
          <w:iCs/>
        </w:rPr>
        <w:t>EJCDC</w:t>
      </w:r>
      <w:r w:rsidRPr="00FF2758">
        <w:rPr>
          <w:i/>
          <w:iCs/>
          <w:vertAlign w:val="superscript"/>
        </w:rPr>
        <w:t>®</w:t>
      </w:r>
      <w:r w:rsidRPr="00FF2758">
        <w:rPr>
          <w:i/>
          <w:iCs/>
        </w:rPr>
        <w:t xml:space="preserve"> </w:t>
      </w:r>
      <w:r w:rsidR="00BC1322" w:rsidRPr="00FF2758">
        <w:rPr>
          <w:i/>
          <w:iCs/>
          <w:color w:val="000000"/>
        </w:rPr>
        <w:t>E-</w:t>
      </w:r>
      <w:r w:rsidR="00FF2758" w:rsidRPr="00FF2758">
        <w:rPr>
          <w:i/>
          <w:iCs/>
          <w:color w:val="000000"/>
        </w:rPr>
        <w:t>505</w:t>
      </w:r>
      <w:r w:rsidR="00F30696" w:rsidRPr="002C034C">
        <w:rPr>
          <w:color w:val="000000"/>
        </w:rPr>
        <w:t xml:space="preserve"> </w:t>
      </w:r>
      <w:r w:rsidR="00E25ABB">
        <w:t>remains</w:t>
      </w:r>
      <w:r>
        <w:t xml:space="preserve"> in the legacy format and delivery system.  Formatted in easy-to-use Microsoft Word, there is no software to install or learn, saving users precious time and money.  </w:t>
      </w:r>
      <w:r w:rsidR="00E25ABB">
        <w:t>EJCDC</w:t>
      </w:r>
      <w:r>
        <w:t xml:space="preserve"> documents are downloaded at the time of purchase and saved directly to the user’s computer.  They</w:t>
      </w:r>
      <w:r w:rsidRPr="00725381">
        <w:t xml:space="preserve"> can be customized </w:t>
      </w:r>
      <w:r>
        <w:t xml:space="preserve">easily </w:t>
      </w:r>
      <w:r w:rsidRPr="00725381">
        <w:t xml:space="preserve">to suit each </w:t>
      </w:r>
      <w:r>
        <w:t xml:space="preserve">project’s </w:t>
      </w:r>
      <w:r w:rsidRPr="00725381">
        <w:t>unique goals and regulatory requirements.</w:t>
      </w:r>
    </w:p>
    <w:p w14:paraId="2F6A9A97" w14:textId="77777777" w:rsidR="0008379C" w:rsidRPr="00787B67" w:rsidRDefault="0008379C" w:rsidP="00BC1322"/>
    <w:p w14:paraId="27B95FBC" w14:textId="77777777" w:rsidR="0008379C" w:rsidRDefault="00AF1C39" w:rsidP="00BC1322">
      <w:r w:rsidRPr="00787B67">
        <w:lastRenderedPageBreak/>
        <w:t>The Engineers Joint Contract Documents Committee (EJCDC</w:t>
      </w:r>
      <w:r w:rsidRPr="00663862">
        <w:rPr>
          <w:vertAlign w:val="superscript"/>
        </w:rPr>
        <w:t>®</w:t>
      </w:r>
      <w:r w:rsidRPr="00787B67">
        <w:t>) is a joint venture of major organizations of professional eng</w:t>
      </w:r>
      <w:r>
        <w:t>ineers and contractors:</w:t>
      </w:r>
    </w:p>
    <w:p w14:paraId="0D9A70B6" w14:textId="77777777" w:rsidR="0008379C" w:rsidRDefault="00AF1C39" w:rsidP="003234EE">
      <w:pPr>
        <w:pStyle w:val="ListParagraph"/>
        <w:numPr>
          <w:ilvl w:val="0"/>
          <w:numId w:val="19"/>
        </w:numPr>
      </w:pPr>
      <w:r>
        <w:t>the American Society of Civil Engineers (ASCE);</w:t>
      </w:r>
    </w:p>
    <w:p w14:paraId="78E2BF8B" w14:textId="77777777" w:rsidR="0008379C" w:rsidRDefault="00AF1C39" w:rsidP="003234EE">
      <w:pPr>
        <w:pStyle w:val="ListParagraph"/>
        <w:numPr>
          <w:ilvl w:val="0"/>
          <w:numId w:val="19"/>
        </w:numPr>
      </w:pPr>
      <w:r>
        <w:t>the National Society of Professional Engineers (NSPE);</w:t>
      </w:r>
    </w:p>
    <w:p w14:paraId="2DDB3800" w14:textId="77777777" w:rsidR="0008379C" w:rsidRDefault="00AF1C39" w:rsidP="003234EE">
      <w:pPr>
        <w:pStyle w:val="ListParagraph"/>
        <w:numPr>
          <w:ilvl w:val="0"/>
          <w:numId w:val="19"/>
        </w:numPr>
      </w:pPr>
      <w:r>
        <w:t xml:space="preserve">and the American Council of Engineering Companies (ACEC). </w:t>
      </w:r>
    </w:p>
    <w:p w14:paraId="4E001F42" w14:textId="77777777" w:rsidR="00F30696" w:rsidRDefault="00F30696" w:rsidP="00BC1322">
      <w:pPr>
        <w:rPr>
          <w:rFonts w:ascii="Verdana" w:hAnsi="Verdana" w:cs="Verdana"/>
          <w:sz w:val="26"/>
          <w:szCs w:val="26"/>
        </w:rPr>
      </w:pPr>
    </w:p>
    <w:p w14:paraId="75BBF6D9" w14:textId="77777777" w:rsidR="00F30696" w:rsidRDefault="00F30696" w:rsidP="00BC1322">
      <w:r w:rsidRPr="00787B67">
        <w:t xml:space="preserve">Since 1975, EJCDC has developed and updated fair and objective standard documents that represent the latest and best thinking in contractual relations between all parties involved in engineering design and construction projects. </w:t>
      </w:r>
    </w:p>
    <w:p w14:paraId="46F9D4CC" w14:textId="77777777" w:rsidR="0008379C" w:rsidRDefault="0008379C" w:rsidP="00BC1322"/>
    <w:p w14:paraId="79657A96" w14:textId="77777777" w:rsidR="0008379C" w:rsidRPr="00787B67" w:rsidRDefault="00AF1C39" w:rsidP="00BC1322">
      <w:r>
        <w:t>Buy EJCDC documents online at www.ejcdc.org.</w:t>
      </w:r>
    </w:p>
    <w:p w14:paraId="451CBC96" w14:textId="77777777" w:rsidR="0008379C" w:rsidRPr="00787B67" w:rsidRDefault="0008379C" w:rsidP="00BC1322"/>
    <w:p w14:paraId="7A7B9623" w14:textId="77777777" w:rsidR="0008379C" w:rsidRPr="00191A16" w:rsidRDefault="00AF1C39" w:rsidP="00BC1322">
      <w:pPr>
        <w:rPr>
          <w:lang w:val="fr-FR"/>
        </w:rPr>
      </w:pPr>
      <w:r w:rsidRPr="00191A16">
        <w:rPr>
          <w:lang w:val="fr-FR"/>
        </w:rPr>
        <w:t>Contact:</w:t>
      </w:r>
    </w:p>
    <w:p w14:paraId="723BC023" w14:textId="77777777" w:rsidR="0008379C" w:rsidRPr="00191A16" w:rsidRDefault="00AF1C39" w:rsidP="0008379C">
      <w:pPr>
        <w:rPr>
          <w:lang w:val="fr-FR"/>
        </w:rPr>
      </w:pPr>
      <w:r w:rsidRPr="00191A16">
        <w:rPr>
          <w:lang w:val="fr-FR"/>
        </w:rPr>
        <w:t>Linda Yelton</w:t>
      </w:r>
    </w:p>
    <w:p w14:paraId="7946EFA1" w14:textId="77777777" w:rsidR="0008379C" w:rsidRPr="00191A16" w:rsidRDefault="00AF1C39" w:rsidP="0008379C">
      <w:pPr>
        <w:rPr>
          <w:lang w:val="fr-FR"/>
        </w:rPr>
      </w:pPr>
      <w:r w:rsidRPr="00191A16">
        <w:rPr>
          <w:lang w:val="fr-FR"/>
        </w:rPr>
        <w:t>EJCDC</w:t>
      </w:r>
      <w:r w:rsidRPr="00E62611">
        <w:rPr>
          <w:vertAlign w:val="superscript"/>
        </w:rPr>
        <w:t>®</w:t>
      </w:r>
    </w:p>
    <w:p w14:paraId="3163E980" w14:textId="77777777" w:rsidR="0008379C" w:rsidRPr="00191A16" w:rsidRDefault="00AF1C39" w:rsidP="0008379C">
      <w:pPr>
        <w:rPr>
          <w:lang w:val="fr-FR"/>
        </w:rPr>
      </w:pPr>
      <w:r w:rsidRPr="00191A16">
        <w:rPr>
          <w:lang w:val="fr-FR"/>
        </w:rPr>
        <w:t>703.403.4812</w:t>
      </w:r>
    </w:p>
    <w:p w14:paraId="6101B0A2" w14:textId="77777777" w:rsidR="0008379C" w:rsidRPr="00191A16" w:rsidRDefault="009173E7" w:rsidP="0008379C">
      <w:pPr>
        <w:rPr>
          <w:lang w:val="fr-FR"/>
        </w:rPr>
      </w:pPr>
      <w:hyperlink r:id="rId6" w:tgtFrame="_blank" w:history="1">
        <w:r w:rsidR="00AF1C39" w:rsidRPr="00191A16">
          <w:rPr>
            <w:rStyle w:val="Hyperlink"/>
            <w:lang w:val="fr-FR"/>
          </w:rPr>
          <w:t>linda@ejcdc.org</w:t>
        </w:r>
      </w:hyperlink>
    </w:p>
    <w:p w14:paraId="18E22E97" w14:textId="77777777" w:rsidR="0008379C" w:rsidRPr="00787B67" w:rsidRDefault="00AF1C39" w:rsidP="0008379C">
      <w:pPr>
        <w:jc w:val="center"/>
      </w:pPr>
      <w:r>
        <w:t>###</w:t>
      </w:r>
    </w:p>
    <w:p w14:paraId="3822145F" w14:textId="77777777" w:rsidR="0008379C" w:rsidRDefault="0008379C"/>
    <w:sectPr w:rsidR="0008379C" w:rsidSect="000837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19B"/>
    <w:multiLevelType w:val="hybridMultilevel"/>
    <w:tmpl w:val="66E48F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17FF5"/>
    <w:multiLevelType w:val="hybridMultilevel"/>
    <w:tmpl w:val="653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4327"/>
    <w:multiLevelType w:val="hybridMultilevel"/>
    <w:tmpl w:val="CA4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82358"/>
    <w:multiLevelType w:val="hybridMultilevel"/>
    <w:tmpl w:val="24AC4F36"/>
    <w:lvl w:ilvl="0" w:tplc="78386D0C">
      <w:start w:val="1"/>
      <w:numFmt w:val="bullet"/>
      <w:lvlText w:val="•"/>
      <w:lvlJc w:val="left"/>
      <w:pPr>
        <w:ind w:left="720" w:hanging="360"/>
      </w:pPr>
      <w:rPr>
        <w:rFonts w:ascii="Bodoni MT Poster Compressed" w:hAnsi="Bodoni MT Poster Compressed"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9337A"/>
    <w:multiLevelType w:val="hybridMultilevel"/>
    <w:tmpl w:val="F40A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4222"/>
    <w:multiLevelType w:val="hybridMultilevel"/>
    <w:tmpl w:val="9EA6F3B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26634"/>
    <w:multiLevelType w:val="hybridMultilevel"/>
    <w:tmpl w:val="360C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A2BC3"/>
    <w:multiLevelType w:val="hybridMultilevel"/>
    <w:tmpl w:val="29E832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087AB6"/>
    <w:multiLevelType w:val="hybridMultilevel"/>
    <w:tmpl w:val="D9D201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82068"/>
    <w:multiLevelType w:val="hybridMultilevel"/>
    <w:tmpl w:val="0E5C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5E1912"/>
    <w:multiLevelType w:val="hybridMultilevel"/>
    <w:tmpl w:val="01F8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C0C5C"/>
    <w:multiLevelType w:val="hybridMultilevel"/>
    <w:tmpl w:val="C0DA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96748"/>
    <w:multiLevelType w:val="hybridMultilevel"/>
    <w:tmpl w:val="1AD6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E6DF5"/>
    <w:multiLevelType w:val="hybridMultilevel"/>
    <w:tmpl w:val="2C46FC28"/>
    <w:lvl w:ilvl="0" w:tplc="0E4CC700">
      <w:start w:val="1"/>
      <w:numFmt w:val="bullet"/>
      <w:lvlText w:val="§"/>
      <w:lvlJc w:val="left"/>
      <w:pPr>
        <w:tabs>
          <w:tab w:val="num" w:pos="720"/>
        </w:tabs>
        <w:ind w:left="720" w:hanging="360"/>
      </w:pPr>
      <w:rPr>
        <w:rFonts w:ascii="Wingdings" w:hAnsi="Wingdings" w:hint="default"/>
      </w:rPr>
    </w:lvl>
    <w:lvl w:ilvl="1" w:tplc="FB766D96" w:tentative="1">
      <w:start w:val="1"/>
      <w:numFmt w:val="bullet"/>
      <w:lvlText w:val="§"/>
      <w:lvlJc w:val="left"/>
      <w:pPr>
        <w:tabs>
          <w:tab w:val="num" w:pos="1440"/>
        </w:tabs>
        <w:ind w:left="1440" w:hanging="360"/>
      </w:pPr>
      <w:rPr>
        <w:rFonts w:ascii="Wingdings" w:hAnsi="Wingdings" w:hint="default"/>
      </w:rPr>
    </w:lvl>
    <w:lvl w:ilvl="2" w:tplc="A45CDACA" w:tentative="1">
      <w:start w:val="1"/>
      <w:numFmt w:val="bullet"/>
      <w:lvlText w:val="§"/>
      <w:lvlJc w:val="left"/>
      <w:pPr>
        <w:tabs>
          <w:tab w:val="num" w:pos="2160"/>
        </w:tabs>
        <w:ind w:left="2160" w:hanging="360"/>
      </w:pPr>
      <w:rPr>
        <w:rFonts w:ascii="Wingdings" w:hAnsi="Wingdings" w:hint="default"/>
      </w:rPr>
    </w:lvl>
    <w:lvl w:ilvl="3" w:tplc="0568C1C2" w:tentative="1">
      <w:start w:val="1"/>
      <w:numFmt w:val="bullet"/>
      <w:lvlText w:val="§"/>
      <w:lvlJc w:val="left"/>
      <w:pPr>
        <w:tabs>
          <w:tab w:val="num" w:pos="2880"/>
        </w:tabs>
        <w:ind w:left="2880" w:hanging="360"/>
      </w:pPr>
      <w:rPr>
        <w:rFonts w:ascii="Wingdings" w:hAnsi="Wingdings" w:hint="default"/>
      </w:rPr>
    </w:lvl>
    <w:lvl w:ilvl="4" w:tplc="AD180C06" w:tentative="1">
      <w:start w:val="1"/>
      <w:numFmt w:val="bullet"/>
      <w:lvlText w:val="§"/>
      <w:lvlJc w:val="left"/>
      <w:pPr>
        <w:tabs>
          <w:tab w:val="num" w:pos="3600"/>
        </w:tabs>
        <w:ind w:left="3600" w:hanging="360"/>
      </w:pPr>
      <w:rPr>
        <w:rFonts w:ascii="Wingdings" w:hAnsi="Wingdings" w:hint="default"/>
      </w:rPr>
    </w:lvl>
    <w:lvl w:ilvl="5" w:tplc="90405D3A" w:tentative="1">
      <w:start w:val="1"/>
      <w:numFmt w:val="bullet"/>
      <w:lvlText w:val="§"/>
      <w:lvlJc w:val="left"/>
      <w:pPr>
        <w:tabs>
          <w:tab w:val="num" w:pos="4320"/>
        </w:tabs>
        <w:ind w:left="4320" w:hanging="360"/>
      </w:pPr>
      <w:rPr>
        <w:rFonts w:ascii="Wingdings" w:hAnsi="Wingdings" w:hint="default"/>
      </w:rPr>
    </w:lvl>
    <w:lvl w:ilvl="6" w:tplc="159C6EDE" w:tentative="1">
      <w:start w:val="1"/>
      <w:numFmt w:val="bullet"/>
      <w:lvlText w:val="§"/>
      <w:lvlJc w:val="left"/>
      <w:pPr>
        <w:tabs>
          <w:tab w:val="num" w:pos="5040"/>
        </w:tabs>
        <w:ind w:left="5040" w:hanging="360"/>
      </w:pPr>
      <w:rPr>
        <w:rFonts w:ascii="Wingdings" w:hAnsi="Wingdings" w:hint="default"/>
      </w:rPr>
    </w:lvl>
    <w:lvl w:ilvl="7" w:tplc="D47E90DE" w:tentative="1">
      <w:start w:val="1"/>
      <w:numFmt w:val="bullet"/>
      <w:lvlText w:val="§"/>
      <w:lvlJc w:val="left"/>
      <w:pPr>
        <w:tabs>
          <w:tab w:val="num" w:pos="5760"/>
        </w:tabs>
        <w:ind w:left="5760" w:hanging="360"/>
      </w:pPr>
      <w:rPr>
        <w:rFonts w:ascii="Wingdings" w:hAnsi="Wingdings" w:hint="default"/>
      </w:rPr>
    </w:lvl>
    <w:lvl w:ilvl="8" w:tplc="26B8B4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92B5D"/>
    <w:multiLevelType w:val="hybridMultilevel"/>
    <w:tmpl w:val="747C2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8F124F"/>
    <w:multiLevelType w:val="hybridMultilevel"/>
    <w:tmpl w:val="07163C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D217225"/>
    <w:multiLevelType w:val="hybridMultilevel"/>
    <w:tmpl w:val="EAD6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F0918"/>
    <w:multiLevelType w:val="hybridMultilevel"/>
    <w:tmpl w:val="414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34418"/>
    <w:multiLevelType w:val="hybridMultilevel"/>
    <w:tmpl w:val="DB805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90051"/>
    <w:multiLevelType w:val="hybridMultilevel"/>
    <w:tmpl w:val="952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A6959"/>
    <w:multiLevelType w:val="hybridMultilevel"/>
    <w:tmpl w:val="B81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A12D3"/>
    <w:multiLevelType w:val="hybridMultilevel"/>
    <w:tmpl w:val="717E6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136D8"/>
    <w:multiLevelType w:val="hybridMultilevel"/>
    <w:tmpl w:val="927C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7"/>
  </w:num>
  <w:num w:numId="4">
    <w:abstractNumId w:val="16"/>
  </w:num>
  <w:num w:numId="5">
    <w:abstractNumId w:val="20"/>
  </w:num>
  <w:num w:numId="6">
    <w:abstractNumId w:val="4"/>
  </w:num>
  <w:num w:numId="7">
    <w:abstractNumId w:val="3"/>
  </w:num>
  <w:num w:numId="8">
    <w:abstractNumId w:val="0"/>
  </w:num>
  <w:num w:numId="9">
    <w:abstractNumId w:val="8"/>
  </w:num>
  <w:num w:numId="10">
    <w:abstractNumId w:val="9"/>
  </w:num>
  <w:num w:numId="11">
    <w:abstractNumId w:val="2"/>
  </w:num>
  <w:num w:numId="12">
    <w:abstractNumId w:val="12"/>
  </w:num>
  <w:num w:numId="13">
    <w:abstractNumId w:val="6"/>
  </w:num>
  <w:num w:numId="14">
    <w:abstractNumId w:val="17"/>
  </w:num>
  <w:num w:numId="15">
    <w:abstractNumId w:val="10"/>
  </w:num>
  <w:num w:numId="16">
    <w:abstractNumId w:val="18"/>
  </w:num>
  <w:num w:numId="17">
    <w:abstractNumId w:val="5"/>
  </w:num>
  <w:num w:numId="18">
    <w:abstractNumId w:val="11"/>
  </w:num>
  <w:num w:numId="19">
    <w:abstractNumId w:val="1"/>
  </w:num>
  <w:num w:numId="20">
    <w:abstractNumId w:val="13"/>
  </w:num>
  <w:num w:numId="21">
    <w:abstractNumId w:val="19"/>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D3B"/>
    <w:rsid w:val="0006022A"/>
    <w:rsid w:val="0008379C"/>
    <w:rsid w:val="000F60D2"/>
    <w:rsid w:val="00107F8E"/>
    <w:rsid w:val="00130A2C"/>
    <w:rsid w:val="001949DB"/>
    <w:rsid w:val="001E792F"/>
    <w:rsid w:val="001F1A59"/>
    <w:rsid w:val="00226FDE"/>
    <w:rsid w:val="002C034C"/>
    <w:rsid w:val="003234EE"/>
    <w:rsid w:val="00397CBA"/>
    <w:rsid w:val="003D370A"/>
    <w:rsid w:val="00406C2C"/>
    <w:rsid w:val="0041738F"/>
    <w:rsid w:val="00430D3B"/>
    <w:rsid w:val="004327E5"/>
    <w:rsid w:val="00521785"/>
    <w:rsid w:val="00600FB5"/>
    <w:rsid w:val="00605A4E"/>
    <w:rsid w:val="006D287F"/>
    <w:rsid w:val="007A7773"/>
    <w:rsid w:val="008814A1"/>
    <w:rsid w:val="008D4391"/>
    <w:rsid w:val="009173E7"/>
    <w:rsid w:val="00952BD2"/>
    <w:rsid w:val="00973EE6"/>
    <w:rsid w:val="00AD607A"/>
    <w:rsid w:val="00AF1C39"/>
    <w:rsid w:val="00B57293"/>
    <w:rsid w:val="00B62680"/>
    <w:rsid w:val="00B67865"/>
    <w:rsid w:val="00B91CA6"/>
    <w:rsid w:val="00BC1322"/>
    <w:rsid w:val="00D21200"/>
    <w:rsid w:val="00D4056F"/>
    <w:rsid w:val="00DA309A"/>
    <w:rsid w:val="00E25ABB"/>
    <w:rsid w:val="00EB6541"/>
    <w:rsid w:val="00EC63ED"/>
    <w:rsid w:val="00F04B1B"/>
    <w:rsid w:val="00F30696"/>
    <w:rsid w:val="00FF27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7AC8B"/>
  <w15:docId w15:val="{13D9F37D-F5BD-4FFA-80BE-89A06E05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0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26D4A"/>
    <w:pPr>
      <w:ind w:left="720"/>
      <w:contextualSpacing/>
    </w:pPr>
  </w:style>
  <w:style w:type="paragraph" w:customStyle="1" w:styleId="ColorfulList-Accent11">
    <w:name w:val="Colorful List - Accent 11"/>
    <w:basedOn w:val="Normal"/>
    <w:uiPriority w:val="34"/>
    <w:qFormat/>
    <w:rsid w:val="00460A81"/>
    <w:pPr>
      <w:ind w:left="720"/>
    </w:pPr>
  </w:style>
  <w:style w:type="character" w:styleId="Hyperlink">
    <w:name w:val="Hyperlink"/>
    <w:rsid w:val="00460A81"/>
    <w:rPr>
      <w:color w:val="0000FF"/>
      <w:u w:val="single"/>
    </w:rPr>
  </w:style>
  <w:style w:type="paragraph" w:styleId="BalloonText">
    <w:name w:val="Balloon Text"/>
    <w:basedOn w:val="Normal"/>
    <w:link w:val="BalloonTextChar"/>
    <w:rsid w:val="00167BA2"/>
    <w:rPr>
      <w:rFonts w:ascii="Tahoma" w:hAnsi="Tahoma" w:cs="Tahoma"/>
      <w:sz w:val="16"/>
      <w:szCs w:val="16"/>
    </w:rPr>
  </w:style>
  <w:style w:type="character" w:customStyle="1" w:styleId="BalloonTextChar">
    <w:name w:val="Balloon Text Char"/>
    <w:link w:val="BalloonText"/>
    <w:rsid w:val="00167BA2"/>
    <w:rPr>
      <w:rFonts w:ascii="Tahoma" w:hAnsi="Tahoma" w:cs="Tahoma"/>
      <w:sz w:val="16"/>
      <w:szCs w:val="16"/>
    </w:rPr>
  </w:style>
  <w:style w:type="paragraph" w:customStyle="1" w:styleId="CoverBold16">
    <w:name w:val="Cover Bold 16"/>
    <w:basedOn w:val="Normal"/>
    <w:rsid w:val="00E74A19"/>
    <w:pPr>
      <w:overflowPunct w:val="0"/>
      <w:autoSpaceDE w:val="0"/>
      <w:autoSpaceDN w:val="0"/>
      <w:adjustRightInd w:val="0"/>
      <w:jc w:val="center"/>
      <w:textAlignment w:val="baseline"/>
    </w:pPr>
    <w:rPr>
      <w:rFonts w:ascii="Calibri" w:eastAsia="Times New Roman" w:hAnsi="Calibri"/>
      <w:b/>
      <w:bCs/>
      <w:spacing w:val="-2"/>
      <w:sz w:val="32"/>
      <w:szCs w:val="32"/>
    </w:rPr>
  </w:style>
  <w:style w:type="paragraph" w:styleId="NormalWeb">
    <w:name w:val="Normal (Web)"/>
    <w:basedOn w:val="Normal"/>
    <w:uiPriority w:val="99"/>
    <w:unhideWhenUsed/>
    <w:rsid w:val="00E74A19"/>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970DFD"/>
    <w:pPr>
      <w:ind w:left="720"/>
      <w:contextualSpacing/>
    </w:pPr>
  </w:style>
  <w:style w:type="paragraph" w:styleId="PlainText">
    <w:name w:val="Plain Text"/>
    <w:basedOn w:val="Normal"/>
    <w:link w:val="PlainTextChar"/>
    <w:uiPriority w:val="99"/>
    <w:unhideWhenUsed/>
    <w:rsid w:val="00DA309A"/>
    <w:rPr>
      <w:rFonts w:ascii="Calibri" w:eastAsiaTheme="minorHAnsi" w:hAnsi="Calibri"/>
      <w:sz w:val="22"/>
      <w:szCs w:val="22"/>
    </w:rPr>
  </w:style>
  <w:style w:type="character" w:customStyle="1" w:styleId="PlainTextChar">
    <w:name w:val="Plain Text Char"/>
    <w:basedOn w:val="DefaultParagraphFont"/>
    <w:link w:val="PlainText"/>
    <w:uiPriority w:val="99"/>
    <w:rsid w:val="00DA309A"/>
    <w:rPr>
      <w:rFonts w:ascii="Calibri" w:eastAsiaTheme="minorHAnsi" w:hAnsi="Calibri"/>
      <w:sz w:val="22"/>
      <w:szCs w:val="22"/>
    </w:rPr>
  </w:style>
  <w:style w:type="paragraph" w:customStyle="1" w:styleId="Default">
    <w:name w:val="Default"/>
    <w:rsid w:val="00BC1322"/>
    <w:pPr>
      <w:autoSpaceDE w:val="0"/>
      <w:autoSpaceDN w:val="0"/>
      <w:adjustRightInd w:val="0"/>
    </w:pPr>
    <w:rPr>
      <w:rFonts w:ascii="Calibri" w:hAnsi="Calibri" w:cs="Calibri"/>
      <w:color w:val="000000"/>
      <w:sz w:val="24"/>
      <w:szCs w:val="24"/>
    </w:rPr>
  </w:style>
  <w:style w:type="paragraph" w:customStyle="1" w:styleId="EJCDCNormal">
    <w:name w:val="@EJCDC Normal"/>
    <w:basedOn w:val="Normal"/>
    <w:qFormat/>
    <w:rsid w:val="001949DB"/>
    <w:pPr>
      <w:spacing w:before="120" w:after="120"/>
      <w:jc w:val="both"/>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1829">
      <w:bodyDiv w:val="1"/>
      <w:marLeft w:val="0"/>
      <w:marRight w:val="0"/>
      <w:marTop w:val="0"/>
      <w:marBottom w:val="0"/>
      <w:divBdr>
        <w:top w:val="none" w:sz="0" w:space="0" w:color="auto"/>
        <w:left w:val="none" w:sz="0" w:space="0" w:color="auto"/>
        <w:bottom w:val="none" w:sz="0" w:space="0" w:color="auto"/>
        <w:right w:val="none" w:sz="0" w:space="0" w:color="auto"/>
      </w:divBdr>
      <w:divsChild>
        <w:div w:id="544829478">
          <w:marLeft w:val="547"/>
          <w:marRight w:val="0"/>
          <w:marTop w:val="0"/>
          <w:marBottom w:val="0"/>
          <w:divBdr>
            <w:top w:val="none" w:sz="0" w:space="0" w:color="auto"/>
            <w:left w:val="none" w:sz="0" w:space="0" w:color="auto"/>
            <w:bottom w:val="none" w:sz="0" w:space="0" w:color="auto"/>
            <w:right w:val="none" w:sz="0" w:space="0" w:color="auto"/>
          </w:divBdr>
        </w:div>
      </w:divsChild>
    </w:div>
    <w:div w:id="402262912">
      <w:bodyDiv w:val="1"/>
      <w:marLeft w:val="0"/>
      <w:marRight w:val="0"/>
      <w:marTop w:val="0"/>
      <w:marBottom w:val="0"/>
      <w:divBdr>
        <w:top w:val="none" w:sz="0" w:space="0" w:color="auto"/>
        <w:left w:val="none" w:sz="0" w:space="0" w:color="auto"/>
        <w:bottom w:val="none" w:sz="0" w:space="0" w:color="auto"/>
        <w:right w:val="none" w:sz="0" w:space="0" w:color="auto"/>
      </w:divBdr>
    </w:div>
    <w:div w:id="565918538">
      <w:bodyDiv w:val="1"/>
      <w:marLeft w:val="0"/>
      <w:marRight w:val="0"/>
      <w:marTop w:val="0"/>
      <w:marBottom w:val="0"/>
      <w:divBdr>
        <w:top w:val="none" w:sz="0" w:space="0" w:color="auto"/>
        <w:left w:val="none" w:sz="0" w:space="0" w:color="auto"/>
        <w:bottom w:val="none" w:sz="0" w:space="0" w:color="auto"/>
        <w:right w:val="none" w:sz="0" w:space="0" w:color="auto"/>
      </w:divBdr>
      <w:divsChild>
        <w:div w:id="1793398519">
          <w:marLeft w:val="446"/>
          <w:marRight w:val="0"/>
          <w:marTop w:val="0"/>
          <w:marBottom w:val="0"/>
          <w:divBdr>
            <w:top w:val="none" w:sz="0" w:space="0" w:color="auto"/>
            <w:left w:val="none" w:sz="0" w:space="0" w:color="auto"/>
            <w:bottom w:val="none" w:sz="0" w:space="0" w:color="auto"/>
            <w:right w:val="none" w:sz="0" w:space="0" w:color="auto"/>
          </w:divBdr>
        </w:div>
      </w:divsChild>
    </w:div>
    <w:div w:id="595408692">
      <w:bodyDiv w:val="1"/>
      <w:marLeft w:val="0"/>
      <w:marRight w:val="0"/>
      <w:marTop w:val="0"/>
      <w:marBottom w:val="0"/>
      <w:divBdr>
        <w:top w:val="none" w:sz="0" w:space="0" w:color="auto"/>
        <w:left w:val="none" w:sz="0" w:space="0" w:color="auto"/>
        <w:bottom w:val="none" w:sz="0" w:space="0" w:color="auto"/>
        <w:right w:val="none" w:sz="0" w:space="0" w:color="auto"/>
      </w:divBdr>
    </w:div>
    <w:div w:id="799231223">
      <w:bodyDiv w:val="1"/>
      <w:marLeft w:val="0"/>
      <w:marRight w:val="0"/>
      <w:marTop w:val="0"/>
      <w:marBottom w:val="0"/>
      <w:divBdr>
        <w:top w:val="none" w:sz="0" w:space="0" w:color="auto"/>
        <w:left w:val="none" w:sz="0" w:space="0" w:color="auto"/>
        <w:bottom w:val="none" w:sz="0" w:space="0" w:color="auto"/>
        <w:right w:val="none" w:sz="0" w:space="0" w:color="auto"/>
      </w:divBdr>
      <w:divsChild>
        <w:div w:id="529294011">
          <w:marLeft w:val="547"/>
          <w:marRight w:val="0"/>
          <w:marTop w:val="0"/>
          <w:marBottom w:val="0"/>
          <w:divBdr>
            <w:top w:val="none" w:sz="0" w:space="0" w:color="auto"/>
            <w:left w:val="none" w:sz="0" w:space="0" w:color="auto"/>
            <w:bottom w:val="none" w:sz="0" w:space="0" w:color="auto"/>
            <w:right w:val="none" w:sz="0" w:space="0" w:color="auto"/>
          </w:divBdr>
        </w:div>
        <w:div w:id="923878463">
          <w:marLeft w:val="1166"/>
          <w:marRight w:val="0"/>
          <w:marTop w:val="0"/>
          <w:marBottom w:val="0"/>
          <w:divBdr>
            <w:top w:val="none" w:sz="0" w:space="0" w:color="auto"/>
            <w:left w:val="none" w:sz="0" w:space="0" w:color="auto"/>
            <w:bottom w:val="none" w:sz="0" w:space="0" w:color="auto"/>
            <w:right w:val="none" w:sz="0" w:space="0" w:color="auto"/>
          </w:divBdr>
        </w:div>
        <w:div w:id="1156722073">
          <w:marLeft w:val="1166"/>
          <w:marRight w:val="0"/>
          <w:marTop w:val="0"/>
          <w:marBottom w:val="0"/>
          <w:divBdr>
            <w:top w:val="none" w:sz="0" w:space="0" w:color="auto"/>
            <w:left w:val="none" w:sz="0" w:space="0" w:color="auto"/>
            <w:bottom w:val="none" w:sz="0" w:space="0" w:color="auto"/>
            <w:right w:val="none" w:sz="0" w:space="0" w:color="auto"/>
          </w:divBdr>
        </w:div>
        <w:div w:id="1839803713">
          <w:marLeft w:val="1166"/>
          <w:marRight w:val="0"/>
          <w:marTop w:val="0"/>
          <w:marBottom w:val="0"/>
          <w:divBdr>
            <w:top w:val="none" w:sz="0" w:space="0" w:color="auto"/>
            <w:left w:val="none" w:sz="0" w:space="0" w:color="auto"/>
            <w:bottom w:val="none" w:sz="0" w:space="0" w:color="auto"/>
            <w:right w:val="none" w:sz="0" w:space="0" w:color="auto"/>
          </w:divBdr>
        </w:div>
      </w:divsChild>
    </w:div>
    <w:div w:id="867377691">
      <w:bodyDiv w:val="1"/>
      <w:marLeft w:val="0"/>
      <w:marRight w:val="0"/>
      <w:marTop w:val="0"/>
      <w:marBottom w:val="0"/>
      <w:divBdr>
        <w:top w:val="none" w:sz="0" w:space="0" w:color="auto"/>
        <w:left w:val="none" w:sz="0" w:space="0" w:color="auto"/>
        <w:bottom w:val="none" w:sz="0" w:space="0" w:color="auto"/>
        <w:right w:val="none" w:sz="0" w:space="0" w:color="auto"/>
      </w:divBdr>
    </w:div>
    <w:div w:id="932469796">
      <w:bodyDiv w:val="1"/>
      <w:marLeft w:val="0"/>
      <w:marRight w:val="0"/>
      <w:marTop w:val="0"/>
      <w:marBottom w:val="0"/>
      <w:divBdr>
        <w:top w:val="none" w:sz="0" w:space="0" w:color="auto"/>
        <w:left w:val="none" w:sz="0" w:space="0" w:color="auto"/>
        <w:bottom w:val="none" w:sz="0" w:space="0" w:color="auto"/>
        <w:right w:val="none" w:sz="0" w:space="0" w:color="auto"/>
      </w:divBdr>
    </w:div>
    <w:div w:id="1320773475">
      <w:bodyDiv w:val="1"/>
      <w:marLeft w:val="0"/>
      <w:marRight w:val="0"/>
      <w:marTop w:val="0"/>
      <w:marBottom w:val="0"/>
      <w:divBdr>
        <w:top w:val="none" w:sz="0" w:space="0" w:color="auto"/>
        <w:left w:val="none" w:sz="0" w:space="0" w:color="auto"/>
        <w:bottom w:val="none" w:sz="0" w:space="0" w:color="auto"/>
        <w:right w:val="none" w:sz="0" w:space="0" w:color="auto"/>
      </w:divBdr>
    </w:div>
    <w:div w:id="1324896533">
      <w:bodyDiv w:val="1"/>
      <w:marLeft w:val="0"/>
      <w:marRight w:val="0"/>
      <w:marTop w:val="0"/>
      <w:marBottom w:val="0"/>
      <w:divBdr>
        <w:top w:val="none" w:sz="0" w:space="0" w:color="auto"/>
        <w:left w:val="none" w:sz="0" w:space="0" w:color="auto"/>
        <w:bottom w:val="none" w:sz="0" w:space="0" w:color="auto"/>
        <w:right w:val="none" w:sz="0" w:space="0" w:color="auto"/>
      </w:divBdr>
      <w:divsChild>
        <w:div w:id="1535997358">
          <w:marLeft w:val="547"/>
          <w:marRight w:val="0"/>
          <w:marTop w:val="0"/>
          <w:marBottom w:val="0"/>
          <w:divBdr>
            <w:top w:val="none" w:sz="0" w:space="0" w:color="auto"/>
            <w:left w:val="none" w:sz="0" w:space="0" w:color="auto"/>
            <w:bottom w:val="none" w:sz="0" w:space="0" w:color="auto"/>
            <w:right w:val="none" w:sz="0" w:space="0" w:color="auto"/>
          </w:divBdr>
        </w:div>
        <w:div w:id="1995982949">
          <w:marLeft w:val="547"/>
          <w:marRight w:val="0"/>
          <w:marTop w:val="0"/>
          <w:marBottom w:val="0"/>
          <w:divBdr>
            <w:top w:val="none" w:sz="0" w:space="0" w:color="auto"/>
            <w:left w:val="none" w:sz="0" w:space="0" w:color="auto"/>
            <w:bottom w:val="none" w:sz="0" w:space="0" w:color="auto"/>
            <w:right w:val="none" w:sz="0" w:space="0" w:color="auto"/>
          </w:divBdr>
        </w:div>
      </w:divsChild>
    </w:div>
    <w:div w:id="1372415971">
      <w:bodyDiv w:val="1"/>
      <w:marLeft w:val="0"/>
      <w:marRight w:val="0"/>
      <w:marTop w:val="0"/>
      <w:marBottom w:val="0"/>
      <w:divBdr>
        <w:top w:val="none" w:sz="0" w:space="0" w:color="auto"/>
        <w:left w:val="none" w:sz="0" w:space="0" w:color="auto"/>
        <w:bottom w:val="none" w:sz="0" w:space="0" w:color="auto"/>
        <w:right w:val="none" w:sz="0" w:space="0" w:color="auto"/>
      </w:divBdr>
    </w:div>
    <w:div w:id="1686131144">
      <w:bodyDiv w:val="1"/>
      <w:marLeft w:val="0"/>
      <w:marRight w:val="0"/>
      <w:marTop w:val="0"/>
      <w:marBottom w:val="0"/>
      <w:divBdr>
        <w:top w:val="none" w:sz="0" w:space="0" w:color="auto"/>
        <w:left w:val="none" w:sz="0" w:space="0" w:color="auto"/>
        <w:bottom w:val="none" w:sz="0" w:space="0" w:color="auto"/>
        <w:right w:val="none" w:sz="0" w:space="0" w:color="auto"/>
      </w:divBdr>
    </w:div>
    <w:div w:id="1786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ejcd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Links>
    <vt:vector size="12" baseType="variant">
      <vt:variant>
        <vt:i4>7077973</vt:i4>
      </vt:variant>
      <vt:variant>
        <vt:i4>3</vt:i4>
      </vt:variant>
      <vt:variant>
        <vt:i4>0</vt:i4>
      </vt:variant>
      <vt:variant>
        <vt:i4>5</vt:i4>
      </vt:variant>
      <vt:variant>
        <vt:lpwstr>mailto:linda@ejcdc.org</vt:lpwstr>
      </vt:variant>
      <vt:variant>
        <vt:lpwstr/>
      </vt:variant>
      <vt:variant>
        <vt:i4>2097269</vt:i4>
      </vt:variant>
      <vt:variant>
        <vt:i4>0</vt:i4>
      </vt:variant>
      <vt:variant>
        <vt:i4>0</vt:i4>
      </vt:variant>
      <vt:variant>
        <vt:i4>5</vt:i4>
      </vt:variant>
      <vt:variant>
        <vt:lpwstr>http://www.ejcdc.org/images/stories/2014_E-500_Release.pdf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Anderson</dc:creator>
  <cp:lastModifiedBy>Owner</cp:lastModifiedBy>
  <cp:revision>3</cp:revision>
  <dcterms:created xsi:type="dcterms:W3CDTF">2020-11-13T18:28:00Z</dcterms:created>
  <dcterms:modified xsi:type="dcterms:W3CDTF">2020-11-13T18:38:00Z</dcterms:modified>
</cp:coreProperties>
</file>